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FF57" w14:textId="77777777" w:rsidR="00115CAF" w:rsidRDefault="002C370B" w:rsidP="00283C71">
      <w:pPr>
        <w:pStyle w:val="NoSpacing"/>
        <w:contextualSpacing/>
        <w:jc w:val="both"/>
        <w:rPr>
          <w:rFonts w:cstheme="minorHAnsi"/>
          <w:b/>
          <w:bCs/>
          <w:sz w:val="28"/>
          <w:szCs w:val="28"/>
        </w:rPr>
      </w:pPr>
      <w:r w:rsidRPr="002C370B">
        <w:rPr>
          <w:rFonts w:cstheme="minorHAnsi"/>
          <w:b/>
          <w:bCs/>
          <w:sz w:val="28"/>
          <w:szCs w:val="28"/>
        </w:rPr>
        <w:t xml:space="preserve">Speech and Language Therapy - Adult Community Team STHFT </w:t>
      </w:r>
    </w:p>
    <w:p w14:paraId="74B9A7C3" w14:textId="5B2C2631" w:rsidR="00283C71" w:rsidRPr="002C370B" w:rsidRDefault="00283C71" w:rsidP="00283C71">
      <w:pPr>
        <w:pStyle w:val="NoSpacing"/>
        <w:contextualSpacing/>
        <w:jc w:val="both"/>
        <w:rPr>
          <w:b/>
          <w:bCs/>
          <w:sz w:val="28"/>
          <w:szCs w:val="28"/>
        </w:rPr>
      </w:pPr>
      <w:r w:rsidRPr="002C370B">
        <w:rPr>
          <w:b/>
          <w:bCs/>
          <w:sz w:val="28"/>
          <w:szCs w:val="28"/>
        </w:rPr>
        <w:t xml:space="preserve">Identification - Signs of a swallowing difficulty </w:t>
      </w:r>
    </w:p>
    <w:p w14:paraId="51D508A6" w14:textId="1165CD6B" w:rsidR="00283C71" w:rsidRPr="002C370B" w:rsidRDefault="00283C71" w:rsidP="00283C71">
      <w:pPr>
        <w:rPr>
          <w:color w:val="EE0000"/>
        </w:rPr>
      </w:pPr>
      <w:r w:rsidRPr="002C370B">
        <w:rPr>
          <w:color w:val="EE0000"/>
        </w:rPr>
        <w:t>Consider referral for a swallowing assessment if you have noticed any of the following signs over a period of a few meals /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1300"/>
        <w:gridCol w:w="9355"/>
      </w:tblGrid>
      <w:tr w:rsidR="00283C71" w:rsidRPr="002C370B" w14:paraId="1A9FF92C" w14:textId="77777777" w:rsidTr="003E76C7">
        <w:tc>
          <w:tcPr>
            <w:tcW w:w="4649" w:type="dxa"/>
          </w:tcPr>
          <w:p w14:paraId="58725F68" w14:textId="7AD4ED99" w:rsidR="00283C71" w:rsidRPr="002C370B" w:rsidRDefault="00283C71" w:rsidP="00283C71">
            <w:pPr>
              <w:rPr>
                <w:b/>
                <w:bCs/>
              </w:rPr>
            </w:pPr>
            <w:r w:rsidRPr="002C370B">
              <w:rPr>
                <w:b/>
                <w:bCs/>
              </w:rPr>
              <w:t>Sign</w:t>
            </w:r>
          </w:p>
        </w:tc>
        <w:tc>
          <w:tcPr>
            <w:tcW w:w="1300" w:type="dxa"/>
          </w:tcPr>
          <w:p w14:paraId="36C2F7CB" w14:textId="0CA88B3E" w:rsidR="00283C71" w:rsidRPr="002C370B" w:rsidRDefault="00283C71" w:rsidP="00283C71">
            <w:pPr>
              <w:rPr>
                <w:b/>
                <w:bCs/>
              </w:rPr>
            </w:pPr>
            <w:r w:rsidRPr="002C370B">
              <w:rPr>
                <w:b/>
                <w:bCs/>
              </w:rPr>
              <w:t>YES or NO</w:t>
            </w:r>
          </w:p>
        </w:tc>
        <w:tc>
          <w:tcPr>
            <w:tcW w:w="9355" w:type="dxa"/>
          </w:tcPr>
          <w:p w14:paraId="13E90DF7" w14:textId="77777777" w:rsidR="00283C71" w:rsidRPr="002C370B" w:rsidRDefault="00283C71" w:rsidP="00283C71">
            <w:pPr>
              <w:rPr>
                <w:b/>
                <w:bCs/>
              </w:rPr>
            </w:pPr>
            <w:r w:rsidRPr="002C370B">
              <w:rPr>
                <w:b/>
                <w:bCs/>
              </w:rPr>
              <w:t>If yes, dates &amp; times, what did you observed, what happened</w:t>
            </w:r>
          </w:p>
          <w:p w14:paraId="70A8E682" w14:textId="6EC98B54" w:rsidR="002C370B" w:rsidRPr="002C370B" w:rsidRDefault="002C370B" w:rsidP="00283C71">
            <w:pPr>
              <w:rPr>
                <w:b/>
                <w:bCs/>
              </w:rPr>
            </w:pPr>
            <w:r w:rsidRPr="002C370B">
              <w:rPr>
                <w:b/>
                <w:bCs/>
              </w:rPr>
              <w:t>Make colleagues aware, and closely observe the resident over several meals to see if the problem is a one off, or is a consistent pattern</w:t>
            </w:r>
          </w:p>
        </w:tc>
      </w:tr>
      <w:tr w:rsidR="00283C71" w14:paraId="5DC954D6" w14:textId="77777777" w:rsidTr="003E76C7">
        <w:tc>
          <w:tcPr>
            <w:tcW w:w="4649" w:type="dxa"/>
          </w:tcPr>
          <w:p w14:paraId="0626CEDA" w14:textId="1DF44729" w:rsidR="00283C71" w:rsidRDefault="00283C71" w:rsidP="00283C71">
            <w:r w:rsidRPr="00D459A8">
              <w:t>Coughing or clearing throat - when eating or drinking, or immediately after</w:t>
            </w:r>
          </w:p>
        </w:tc>
        <w:tc>
          <w:tcPr>
            <w:tcW w:w="1300" w:type="dxa"/>
          </w:tcPr>
          <w:p w14:paraId="19DA27B6" w14:textId="77777777" w:rsidR="00283C71" w:rsidRDefault="00283C71" w:rsidP="00283C71"/>
        </w:tc>
        <w:tc>
          <w:tcPr>
            <w:tcW w:w="9355" w:type="dxa"/>
          </w:tcPr>
          <w:p w14:paraId="61323287" w14:textId="77777777" w:rsidR="00283C71" w:rsidRDefault="00283C71" w:rsidP="00283C71"/>
        </w:tc>
      </w:tr>
      <w:tr w:rsidR="00283C71" w14:paraId="3D441252" w14:textId="77777777" w:rsidTr="003E76C7">
        <w:tc>
          <w:tcPr>
            <w:tcW w:w="4649" w:type="dxa"/>
          </w:tcPr>
          <w:p w14:paraId="0FC86FE2" w14:textId="765862CF" w:rsidR="00283C71" w:rsidRPr="00283C71" w:rsidRDefault="00283C71" w:rsidP="00283C71">
            <w:pPr>
              <w:pStyle w:val="NoSpacing"/>
              <w:rPr>
                <w:sz w:val="24"/>
                <w:szCs w:val="24"/>
              </w:rPr>
            </w:pPr>
            <w:r w:rsidRPr="001753B6">
              <w:rPr>
                <w:sz w:val="24"/>
                <w:szCs w:val="24"/>
              </w:rPr>
              <w:t xml:space="preserve">Choking episode </w:t>
            </w:r>
          </w:p>
        </w:tc>
        <w:tc>
          <w:tcPr>
            <w:tcW w:w="1300" w:type="dxa"/>
          </w:tcPr>
          <w:p w14:paraId="1778F849" w14:textId="77777777" w:rsidR="00283C71" w:rsidRDefault="00283C71" w:rsidP="00283C71"/>
        </w:tc>
        <w:tc>
          <w:tcPr>
            <w:tcW w:w="9355" w:type="dxa"/>
          </w:tcPr>
          <w:p w14:paraId="16D9D16D" w14:textId="77777777" w:rsidR="00283C71" w:rsidRDefault="00283C71" w:rsidP="00283C71"/>
        </w:tc>
      </w:tr>
      <w:tr w:rsidR="00283C71" w14:paraId="5394C323" w14:textId="77777777" w:rsidTr="003E76C7">
        <w:tc>
          <w:tcPr>
            <w:tcW w:w="4649" w:type="dxa"/>
          </w:tcPr>
          <w:p w14:paraId="777FB7D1" w14:textId="1D534987" w:rsidR="00283C71" w:rsidRDefault="00283C71" w:rsidP="00283C71">
            <w:pPr>
              <w:pStyle w:val="NoSpacing"/>
            </w:pPr>
            <w:r w:rsidRPr="001753B6">
              <w:rPr>
                <w:sz w:val="24"/>
                <w:szCs w:val="24"/>
              </w:rPr>
              <w:t xml:space="preserve">Pocketing food or food reside in the mouth after swallowing </w:t>
            </w:r>
          </w:p>
        </w:tc>
        <w:tc>
          <w:tcPr>
            <w:tcW w:w="1300" w:type="dxa"/>
          </w:tcPr>
          <w:p w14:paraId="79BBB992" w14:textId="77777777" w:rsidR="00283C71" w:rsidRDefault="00283C71" w:rsidP="00283C71"/>
        </w:tc>
        <w:tc>
          <w:tcPr>
            <w:tcW w:w="9355" w:type="dxa"/>
          </w:tcPr>
          <w:p w14:paraId="31CAFE91" w14:textId="77777777" w:rsidR="00283C71" w:rsidRDefault="00283C71" w:rsidP="00283C71"/>
        </w:tc>
      </w:tr>
      <w:tr w:rsidR="00283C71" w14:paraId="1F3F5557" w14:textId="77777777" w:rsidTr="003E76C7">
        <w:tc>
          <w:tcPr>
            <w:tcW w:w="4649" w:type="dxa"/>
          </w:tcPr>
          <w:p w14:paraId="0D0EF3FA" w14:textId="09C61D10" w:rsidR="00283C71" w:rsidRDefault="00283C71" w:rsidP="00283C71">
            <w:pPr>
              <w:pStyle w:val="NoSpacing"/>
            </w:pPr>
            <w:r w:rsidRPr="001753B6">
              <w:rPr>
                <w:sz w:val="24"/>
                <w:szCs w:val="24"/>
              </w:rPr>
              <w:t>Food or drink dribbling / spilling from the mouth</w:t>
            </w:r>
          </w:p>
        </w:tc>
        <w:tc>
          <w:tcPr>
            <w:tcW w:w="1300" w:type="dxa"/>
          </w:tcPr>
          <w:p w14:paraId="11B284A1" w14:textId="77777777" w:rsidR="00283C71" w:rsidRDefault="00283C71" w:rsidP="00283C71"/>
        </w:tc>
        <w:tc>
          <w:tcPr>
            <w:tcW w:w="9355" w:type="dxa"/>
          </w:tcPr>
          <w:p w14:paraId="0896E0EB" w14:textId="77777777" w:rsidR="00283C71" w:rsidRDefault="00283C71" w:rsidP="00283C71"/>
        </w:tc>
      </w:tr>
      <w:tr w:rsidR="00283C71" w14:paraId="1FBF5254" w14:textId="77777777" w:rsidTr="003E76C7">
        <w:tc>
          <w:tcPr>
            <w:tcW w:w="4649" w:type="dxa"/>
          </w:tcPr>
          <w:p w14:paraId="04C8876C" w14:textId="3815F819" w:rsidR="00283C71" w:rsidRPr="001753B6" w:rsidRDefault="00283C71" w:rsidP="00283C71">
            <w:pPr>
              <w:pStyle w:val="NoSpacing"/>
              <w:rPr>
                <w:sz w:val="24"/>
                <w:szCs w:val="24"/>
              </w:rPr>
            </w:pPr>
            <w:r w:rsidRPr="001753B6">
              <w:rPr>
                <w:sz w:val="24"/>
                <w:szCs w:val="24"/>
              </w:rPr>
              <w:t>Difficulty chewing or moving food around the mouth</w:t>
            </w:r>
          </w:p>
        </w:tc>
        <w:tc>
          <w:tcPr>
            <w:tcW w:w="1300" w:type="dxa"/>
          </w:tcPr>
          <w:p w14:paraId="1BFFDAD5" w14:textId="77777777" w:rsidR="00283C71" w:rsidRDefault="00283C71" w:rsidP="00283C71"/>
        </w:tc>
        <w:tc>
          <w:tcPr>
            <w:tcW w:w="9355" w:type="dxa"/>
          </w:tcPr>
          <w:p w14:paraId="417AD161" w14:textId="77777777" w:rsidR="00283C71" w:rsidRDefault="00283C71" w:rsidP="00283C71"/>
        </w:tc>
      </w:tr>
      <w:tr w:rsidR="00283C71" w14:paraId="5BF0A9D5" w14:textId="77777777" w:rsidTr="003E76C7">
        <w:tc>
          <w:tcPr>
            <w:tcW w:w="4649" w:type="dxa"/>
          </w:tcPr>
          <w:p w14:paraId="6EC3EEEF" w14:textId="12837A7B" w:rsidR="00283C71" w:rsidRPr="001753B6" w:rsidRDefault="00283C71" w:rsidP="00283C71">
            <w:pPr>
              <w:pStyle w:val="NoSpacing"/>
              <w:rPr>
                <w:sz w:val="24"/>
                <w:szCs w:val="24"/>
              </w:rPr>
            </w:pPr>
            <w:r w:rsidRPr="001753B6">
              <w:rPr>
                <w:sz w:val="24"/>
                <w:szCs w:val="24"/>
              </w:rPr>
              <w:t>Holding food in the mouth with difficulty initiating the swallow</w:t>
            </w:r>
          </w:p>
        </w:tc>
        <w:tc>
          <w:tcPr>
            <w:tcW w:w="1300" w:type="dxa"/>
          </w:tcPr>
          <w:p w14:paraId="6DB244B4" w14:textId="77777777" w:rsidR="00283C71" w:rsidRDefault="00283C71" w:rsidP="00283C71"/>
        </w:tc>
        <w:tc>
          <w:tcPr>
            <w:tcW w:w="9355" w:type="dxa"/>
          </w:tcPr>
          <w:p w14:paraId="6B028D39" w14:textId="77777777" w:rsidR="00283C71" w:rsidRDefault="00283C71" w:rsidP="00283C71"/>
        </w:tc>
      </w:tr>
      <w:tr w:rsidR="00283C71" w14:paraId="57C09EBD" w14:textId="77777777" w:rsidTr="003E76C7">
        <w:tc>
          <w:tcPr>
            <w:tcW w:w="4649" w:type="dxa"/>
          </w:tcPr>
          <w:p w14:paraId="686AD56E" w14:textId="06F231A4" w:rsidR="00283C71" w:rsidRPr="001753B6" w:rsidRDefault="00283C71" w:rsidP="00283C71">
            <w:pPr>
              <w:pStyle w:val="NoSpacing"/>
              <w:rPr>
                <w:sz w:val="24"/>
                <w:szCs w:val="24"/>
              </w:rPr>
            </w:pPr>
            <w:r w:rsidRPr="001753B6">
              <w:rPr>
                <w:sz w:val="24"/>
                <w:szCs w:val="24"/>
              </w:rPr>
              <w:t>Swallowing looking ‘difficult’</w:t>
            </w:r>
          </w:p>
        </w:tc>
        <w:tc>
          <w:tcPr>
            <w:tcW w:w="1300" w:type="dxa"/>
          </w:tcPr>
          <w:p w14:paraId="658ADD3C" w14:textId="77777777" w:rsidR="00283C71" w:rsidRDefault="00283C71" w:rsidP="00283C71"/>
        </w:tc>
        <w:tc>
          <w:tcPr>
            <w:tcW w:w="9355" w:type="dxa"/>
          </w:tcPr>
          <w:p w14:paraId="1B5645CE" w14:textId="77777777" w:rsidR="00283C71" w:rsidRDefault="00283C71" w:rsidP="00283C71"/>
        </w:tc>
      </w:tr>
      <w:tr w:rsidR="00283C71" w14:paraId="5F9F527E" w14:textId="77777777" w:rsidTr="003E76C7">
        <w:tc>
          <w:tcPr>
            <w:tcW w:w="4649" w:type="dxa"/>
          </w:tcPr>
          <w:p w14:paraId="05EF0147" w14:textId="56B40475" w:rsidR="00283C71" w:rsidRPr="001753B6" w:rsidRDefault="00283C71" w:rsidP="00283C71">
            <w:pPr>
              <w:pStyle w:val="NoSpacing"/>
              <w:rPr>
                <w:sz w:val="24"/>
                <w:szCs w:val="24"/>
              </w:rPr>
            </w:pPr>
            <w:r w:rsidRPr="001753B6">
              <w:rPr>
                <w:sz w:val="24"/>
                <w:szCs w:val="24"/>
              </w:rPr>
              <w:t xml:space="preserve">The voice sounding ‘wet, croaky, or ‘bubbly’ during /after eating or drinking </w:t>
            </w:r>
          </w:p>
        </w:tc>
        <w:tc>
          <w:tcPr>
            <w:tcW w:w="1300" w:type="dxa"/>
          </w:tcPr>
          <w:p w14:paraId="3D10BD8F" w14:textId="77777777" w:rsidR="00283C71" w:rsidRDefault="00283C71" w:rsidP="00283C71"/>
        </w:tc>
        <w:tc>
          <w:tcPr>
            <w:tcW w:w="9355" w:type="dxa"/>
          </w:tcPr>
          <w:p w14:paraId="4644FCB4" w14:textId="77777777" w:rsidR="00283C71" w:rsidRDefault="00283C71" w:rsidP="00283C71"/>
        </w:tc>
      </w:tr>
      <w:tr w:rsidR="00283C71" w14:paraId="1F2114A3" w14:textId="77777777" w:rsidTr="003E76C7">
        <w:tc>
          <w:tcPr>
            <w:tcW w:w="4649" w:type="dxa"/>
          </w:tcPr>
          <w:p w14:paraId="76D5A601" w14:textId="1D3C6FC1" w:rsidR="00283C71" w:rsidRPr="001753B6" w:rsidRDefault="00283C71" w:rsidP="00283C71">
            <w:pPr>
              <w:pStyle w:val="NoSpacing"/>
              <w:rPr>
                <w:sz w:val="24"/>
                <w:szCs w:val="24"/>
              </w:rPr>
            </w:pPr>
            <w:r w:rsidRPr="001753B6">
              <w:rPr>
                <w:sz w:val="24"/>
                <w:szCs w:val="24"/>
              </w:rPr>
              <w:t>Change of face colour or breathing pattern after swallowing</w:t>
            </w:r>
          </w:p>
        </w:tc>
        <w:tc>
          <w:tcPr>
            <w:tcW w:w="1300" w:type="dxa"/>
          </w:tcPr>
          <w:p w14:paraId="7D4E6E6B" w14:textId="77777777" w:rsidR="00283C71" w:rsidRDefault="00283C71" w:rsidP="00283C71"/>
        </w:tc>
        <w:tc>
          <w:tcPr>
            <w:tcW w:w="9355" w:type="dxa"/>
          </w:tcPr>
          <w:p w14:paraId="44EEFB07" w14:textId="77777777" w:rsidR="00283C71" w:rsidRDefault="00283C71" w:rsidP="00283C71"/>
        </w:tc>
      </w:tr>
      <w:tr w:rsidR="00283C71" w14:paraId="07C7635E" w14:textId="77777777" w:rsidTr="003E76C7">
        <w:tc>
          <w:tcPr>
            <w:tcW w:w="4649" w:type="dxa"/>
          </w:tcPr>
          <w:p w14:paraId="0263AEFD" w14:textId="073BD47C" w:rsidR="00283C71" w:rsidRPr="001753B6" w:rsidRDefault="00283C71" w:rsidP="00283C71">
            <w:pPr>
              <w:pStyle w:val="NoSpacing"/>
              <w:rPr>
                <w:sz w:val="24"/>
                <w:szCs w:val="24"/>
              </w:rPr>
            </w:pPr>
            <w:r w:rsidRPr="00BE302C">
              <w:rPr>
                <w:sz w:val="24"/>
                <w:szCs w:val="24"/>
              </w:rPr>
              <w:t>Repeated chest infections</w:t>
            </w:r>
            <w:r w:rsidRPr="00BE302C">
              <w:rPr>
                <w:b/>
                <w:sz w:val="24"/>
                <w:szCs w:val="24"/>
              </w:rPr>
              <w:t xml:space="preserve"> </w:t>
            </w:r>
            <w:r w:rsidRPr="00BE302C">
              <w:rPr>
                <w:sz w:val="24"/>
                <w:szCs w:val="24"/>
              </w:rPr>
              <w:t>can be an indicator of an underlying swallowing difficulty, but not all are, so check with the GP before referring.</w:t>
            </w:r>
          </w:p>
        </w:tc>
        <w:tc>
          <w:tcPr>
            <w:tcW w:w="1300" w:type="dxa"/>
          </w:tcPr>
          <w:p w14:paraId="453CC47A" w14:textId="77777777" w:rsidR="00283C71" w:rsidRDefault="00283C71" w:rsidP="00283C71"/>
        </w:tc>
        <w:tc>
          <w:tcPr>
            <w:tcW w:w="9355" w:type="dxa"/>
          </w:tcPr>
          <w:p w14:paraId="474A4860" w14:textId="77777777" w:rsidR="00283C71" w:rsidRDefault="00283C71" w:rsidP="00283C71"/>
        </w:tc>
      </w:tr>
    </w:tbl>
    <w:p w14:paraId="58316196" w14:textId="77777777" w:rsidR="00283C71" w:rsidRDefault="00283C71" w:rsidP="00283C71"/>
    <w:p w14:paraId="015E3E0A" w14:textId="77777777" w:rsidR="002C370B" w:rsidRDefault="002C370B">
      <w:pPr>
        <w:rPr>
          <w:b/>
          <w:kern w:val="0"/>
          <w14:ligatures w14:val="none"/>
        </w:rPr>
      </w:pPr>
      <w:r>
        <w:rPr>
          <w:b/>
        </w:rPr>
        <w:br w:type="page"/>
      </w:r>
    </w:p>
    <w:p w14:paraId="2735269F" w14:textId="39F183E8" w:rsidR="002C370B" w:rsidRPr="00831472" w:rsidRDefault="002C370B" w:rsidP="002C370B">
      <w:pPr>
        <w:pStyle w:val="NoSpacing"/>
        <w:rPr>
          <w:b/>
          <w:sz w:val="28"/>
          <w:szCs w:val="28"/>
        </w:rPr>
      </w:pPr>
      <w:r w:rsidRPr="00831472">
        <w:rPr>
          <w:b/>
          <w:sz w:val="28"/>
          <w:szCs w:val="28"/>
        </w:rPr>
        <w:lastRenderedPageBreak/>
        <w:t xml:space="preserve">Before making a referral to SLT </w:t>
      </w:r>
    </w:p>
    <w:p w14:paraId="75E05E33" w14:textId="77777777" w:rsidR="002C370B" w:rsidRDefault="002C370B" w:rsidP="002C370B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1300"/>
        <w:gridCol w:w="9355"/>
      </w:tblGrid>
      <w:tr w:rsidR="002C370B" w:rsidRPr="002C370B" w14:paraId="00E0A331" w14:textId="77777777" w:rsidTr="003E76C7">
        <w:tc>
          <w:tcPr>
            <w:tcW w:w="4649" w:type="dxa"/>
          </w:tcPr>
          <w:p w14:paraId="7D17D6C7" w14:textId="1E976313" w:rsidR="002C370B" w:rsidRPr="002C370B" w:rsidRDefault="002C370B" w:rsidP="000A1350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300" w:type="dxa"/>
          </w:tcPr>
          <w:p w14:paraId="16977DB1" w14:textId="77777777" w:rsidR="002C370B" w:rsidRPr="002C370B" w:rsidRDefault="002C370B" w:rsidP="000A1350">
            <w:pPr>
              <w:rPr>
                <w:b/>
                <w:bCs/>
              </w:rPr>
            </w:pPr>
            <w:r w:rsidRPr="002C370B">
              <w:rPr>
                <w:b/>
                <w:bCs/>
              </w:rPr>
              <w:t>YES or NO</w:t>
            </w:r>
          </w:p>
        </w:tc>
        <w:tc>
          <w:tcPr>
            <w:tcW w:w="9355" w:type="dxa"/>
          </w:tcPr>
          <w:p w14:paraId="2339F109" w14:textId="67E89B3D" w:rsidR="002C370B" w:rsidRPr="002C370B" w:rsidRDefault="002C370B" w:rsidP="000A1350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2C370B" w14:paraId="79CF7956" w14:textId="77777777" w:rsidTr="003E76C7">
        <w:tc>
          <w:tcPr>
            <w:tcW w:w="4649" w:type="dxa"/>
          </w:tcPr>
          <w:p w14:paraId="44E135C3" w14:textId="2E776BA5" w:rsidR="002C370B" w:rsidRPr="00115CAF" w:rsidRDefault="002C370B" w:rsidP="000A1350">
            <w:pPr>
              <w:rPr>
                <w:sz w:val="22"/>
                <w:szCs w:val="22"/>
              </w:rPr>
            </w:pPr>
            <w:r w:rsidRPr="00115CAF">
              <w:rPr>
                <w:b/>
                <w:sz w:val="22"/>
                <w:szCs w:val="22"/>
              </w:rPr>
              <w:t>Check the care plan –</w:t>
            </w:r>
            <w:r w:rsidRPr="00115CAF">
              <w:rPr>
                <w:sz w:val="22"/>
                <w:szCs w:val="22"/>
              </w:rPr>
              <w:t xml:space="preserve"> If there has been previous SLT involvement, is advice still relevant in the current context?</w:t>
            </w:r>
          </w:p>
        </w:tc>
        <w:tc>
          <w:tcPr>
            <w:tcW w:w="1300" w:type="dxa"/>
          </w:tcPr>
          <w:p w14:paraId="0ED86511" w14:textId="77777777" w:rsidR="002C370B" w:rsidRDefault="002C370B" w:rsidP="000A1350"/>
        </w:tc>
        <w:tc>
          <w:tcPr>
            <w:tcW w:w="9355" w:type="dxa"/>
          </w:tcPr>
          <w:p w14:paraId="1EA9F958" w14:textId="77777777" w:rsidR="002C370B" w:rsidRDefault="002C370B" w:rsidP="000A1350"/>
        </w:tc>
      </w:tr>
      <w:tr w:rsidR="002C370B" w14:paraId="42891EA6" w14:textId="77777777" w:rsidTr="003E76C7">
        <w:tc>
          <w:tcPr>
            <w:tcW w:w="4649" w:type="dxa"/>
          </w:tcPr>
          <w:p w14:paraId="276EC650" w14:textId="5DA30EB0" w:rsidR="002C370B" w:rsidRPr="00115CAF" w:rsidRDefault="002C370B" w:rsidP="002C370B">
            <w:pPr>
              <w:pStyle w:val="NoSpacing"/>
            </w:pPr>
            <w:r w:rsidRPr="00115CAF">
              <w:rPr>
                <w:b/>
              </w:rPr>
              <w:t>Ensure care plan recommendations are consistently being followed by all staff,</w:t>
            </w:r>
            <w:r w:rsidRPr="00115CAF">
              <w:t xml:space="preserve"> the person is alert and upright when eating and drinking and any assistance provided is appropriate in style and pace. </w:t>
            </w:r>
          </w:p>
        </w:tc>
        <w:tc>
          <w:tcPr>
            <w:tcW w:w="1300" w:type="dxa"/>
          </w:tcPr>
          <w:p w14:paraId="5FBABE75" w14:textId="77777777" w:rsidR="002C370B" w:rsidRDefault="002C370B" w:rsidP="000A1350"/>
        </w:tc>
        <w:tc>
          <w:tcPr>
            <w:tcW w:w="9355" w:type="dxa"/>
          </w:tcPr>
          <w:p w14:paraId="1A296EB7" w14:textId="77777777" w:rsidR="002C370B" w:rsidRDefault="002C370B" w:rsidP="000A1350"/>
        </w:tc>
      </w:tr>
      <w:tr w:rsidR="002C370B" w14:paraId="4C166585" w14:textId="77777777" w:rsidTr="003E76C7">
        <w:tc>
          <w:tcPr>
            <w:tcW w:w="4649" w:type="dxa"/>
          </w:tcPr>
          <w:p w14:paraId="21699AAD" w14:textId="2576CA17" w:rsidR="002C370B" w:rsidRPr="00115CAF" w:rsidRDefault="002C370B" w:rsidP="002C370B">
            <w:pPr>
              <w:pStyle w:val="NoSpacing"/>
            </w:pPr>
            <w:r w:rsidRPr="00115CAF">
              <w:t xml:space="preserve">Ensure that any </w:t>
            </w:r>
            <w:r w:rsidRPr="00115CAF">
              <w:rPr>
                <w:b/>
              </w:rPr>
              <w:t>medical reasons</w:t>
            </w:r>
            <w:r w:rsidRPr="00115CAF">
              <w:t xml:space="preserve"> that may have contributed to deterioration in swallowing ability are being managed </w:t>
            </w:r>
          </w:p>
        </w:tc>
        <w:tc>
          <w:tcPr>
            <w:tcW w:w="1300" w:type="dxa"/>
          </w:tcPr>
          <w:p w14:paraId="6B5FA68D" w14:textId="77777777" w:rsidR="002C370B" w:rsidRDefault="002C370B" w:rsidP="000A1350"/>
        </w:tc>
        <w:tc>
          <w:tcPr>
            <w:tcW w:w="9355" w:type="dxa"/>
          </w:tcPr>
          <w:p w14:paraId="4F8568E8" w14:textId="77777777" w:rsidR="002C370B" w:rsidRDefault="002C370B" w:rsidP="000A1350"/>
        </w:tc>
      </w:tr>
      <w:tr w:rsidR="002C370B" w14:paraId="480D6C0E" w14:textId="77777777" w:rsidTr="003E76C7">
        <w:tc>
          <w:tcPr>
            <w:tcW w:w="4649" w:type="dxa"/>
          </w:tcPr>
          <w:p w14:paraId="7B2BD71D" w14:textId="77777777" w:rsidR="002C370B" w:rsidRPr="00115CAF" w:rsidRDefault="002C370B" w:rsidP="002C370B">
            <w:pPr>
              <w:pStyle w:val="NoSpacing"/>
            </w:pPr>
            <w:r w:rsidRPr="00115CAF">
              <w:rPr>
                <w:b/>
              </w:rPr>
              <w:t>Explore factors that may be impacting and try out strategies</w:t>
            </w:r>
            <w:r w:rsidRPr="00115CAF">
              <w:t xml:space="preserve"> to see if they help. </w:t>
            </w:r>
          </w:p>
          <w:p w14:paraId="124185F9" w14:textId="4F9081FC" w:rsidR="002C370B" w:rsidRPr="00115CAF" w:rsidRDefault="002C370B" w:rsidP="000A1350">
            <w:pPr>
              <w:pStyle w:val="NoSpacing"/>
            </w:pPr>
            <w:r w:rsidRPr="00115CAF">
              <w:t>E.g.  Changes to seating, environment, level of assistance/ supervision, cutlery or shape of drinking vessel, or food textures that are more easily swallowed</w:t>
            </w:r>
            <w:r w:rsidR="00115CAF" w:rsidRPr="00115CAF">
              <w:t xml:space="preserve"> - incrementally stepping down in line with the IDDSI diet levels (e.g. if the resident is struggling with level 6 then try modifying to level 5, if still struggling then try level 4, etc.)</w:t>
            </w:r>
          </w:p>
        </w:tc>
        <w:tc>
          <w:tcPr>
            <w:tcW w:w="1300" w:type="dxa"/>
          </w:tcPr>
          <w:p w14:paraId="76BD4F16" w14:textId="77777777" w:rsidR="002C370B" w:rsidRDefault="002C370B" w:rsidP="000A1350"/>
        </w:tc>
        <w:tc>
          <w:tcPr>
            <w:tcW w:w="9355" w:type="dxa"/>
          </w:tcPr>
          <w:p w14:paraId="578FF095" w14:textId="75D76E18" w:rsidR="002C370B" w:rsidRDefault="002C370B" w:rsidP="000A1350"/>
        </w:tc>
      </w:tr>
      <w:tr w:rsidR="002C370B" w14:paraId="2D2AF78A" w14:textId="77777777" w:rsidTr="003E76C7">
        <w:tc>
          <w:tcPr>
            <w:tcW w:w="4649" w:type="dxa"/>
          </w:tcPr>
          <w:p w14:paraId="7B18C2E4" w14:textId="77777777" w:rsidR="002C370B" w:rsidRPr="00115CAF" w:rsidRDefault="002C370B" w:rsidP="002C370B">
            <w:pPr>
              <w:pStyle w:val="NoSpacing"/>
              <w:rPr>
                <w:b/>
              </w:rPr>
            </w:pPr>
            <w:r w:rsidRPr="00115CAF">
              <w:rPr>
                <w:b/>
              </w:rPr>
              <w:t xml:space="preserve">Thickened drinks </w:t>
            </w:r>
          </w:p>
          <w:p w14:paraId="45F72C74" w14:textId="2B18BA68" w:rsidR="002C370B" w:rsidRPr="00115CAF" w:rsidRDefault="002C370B" w:rsidP="002C370B">
            <w:pPr>
              <w:pStyle w:val="NoSpacing"/>
            </w:pPr>
            <w:r w:rsidRPr="00115CAF">
              <w:rPr>
                <w:i/>
              </w:rPr>
              <w:t xml:space="preserve">It has been agreed in Sheffield that thickened drinks can be trialled with agreement of the GP who will prescribe a thickening agent. </w:t>
            </w:r>
            <w:r w:rsidRPr="00115CAF">
              <w:rPr>
                <w:i/>
                <w:highlight w:val="yellow"/>
              </w:rPr>
              <w:t>In this instance ALWAYS make a referral to SLT as well</w:t>
            </w:r>
            <w:r w:rsidR="00115CAF" w:rsidRPr="00115CAF">
              <w:rPr>
                <w:i/>
              </w:rPr>
              <w:t xml:space="preserve"> </w:t>
            </w:r>
            <w:r w:rsidR="00115CAF" w:rsidRPr="00115CAF">
              <w:t>(unless this is part of an EOL/comfort care decision, in which case, specialist SLT assessment may not be indicated)</w:t>
            </w:r>
          </w:p>
        </w:tc>
        <w:tc>
          <w:tcPr>
            <w:tcW w:w="1300" w:type="dxa"/>
          </w:tcPr>
          <w:p w14:paraId="3671300A" w14:textId="77777777" w:rsidR="002C370B" w:rsidRDefault="002C370B" w:rsidP="000A1350"/>
        </w:tc>
        <w:tc>
          <w:tcPr>
            <w:tcW w:w="9355" w:type="dxa"/>
          </w:tcPr>
          <w:p w14:paraId="2F4CB791" w14:textId="6EB40151" w:rsidR="002C370B" w:rsidRDefault="002C370B" w:rsidP="000A1350"/>
        </w:tc>
      </w:tr>
    </w:tbl>
    <w:p w14:paraId="7A21D03F" w14:textId="457DD30C" w:rsidR="003E76C7" w:rsidRDefault="003E76C7">
      <w:pPr>
        <w:rPr>
          <w:kern w:val="0"/>
          <w14:ligatures w14:val="none"/>
        </w:rPr>
      </w:pPr>
    </w:p>
    <w:p w14:paraId="2CDD8B74" w14:textId="77777777" w:rsidR="00D921A0" w:rsidRPr="00C17880" w:rsidRDefault="00D921A0" w:rsidP="00D921A0">
      <w:pPr>
        <w:rPr>
          <w:b/>
          <w:sz w:val="28"/>
          <w:szCs w:val="28"/>
        </w:rPr>
      </w:pPr>
      <w:r w:rsidRPr="00C17880">
        <w:rPr>
          <w:b/>
          <w:sz w:val="28"/>
          <w:szCs w:val="28"/>
        </w:rPr>
        <w:lastRenderedPageBreak/>
        <w:t xml:space="preserve">Making a Referral </w:t>
      </w:r>
    </w:p>
    <w:p w14:paraId="4A3BB13D" w14:textId="77777777" w:rsidR="00D921A0" w:rsidRPr="003D2EF1" w:rsidRDefault="00D921A0" w:rsidP="00D921A0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3D2EF1">
        <w:t>GP referral is not required, but it is useful to discuss a potential referral with them</w:t>
      </w:r>
      <w:r>
        <w:t>.</w:t>
      </w:r>
      <w:r w:rsidRPr="003D2EF1">
        <w:t xml:space="preserve"> </w:t>
      </w:r>
    </w:p>
    <w:p w14:paraId="6F0B51AA" w14:textId="77777777" w:rsidR="00D921A0" w:rsidRDefault="00D921A0" w:rsidP="00D921A0">
      <w:pPr>
        <w:pStyle w:val="ListParagraph"/>
        <w:numPr>
          <w:ilvl w:val="0"/>
          <w:numId w:val="5"/>
        </w:numPr>
        <w:spacing w:after="0" w:line="240" w:lineRule="auto"/>
      </w:pPr>
      <w:r w:rsidRPr="00282F90">
        <w:t xml:space="preserve">Only residents with identified signs of dysphagia should be referred. </w:t>
      </w:r>
      <w:r>
        <w:t xml:space="preserve"> </w:t>
      </w:r>
      <w:r w:rsidRPr="00282F90">
        <w:t xml:space="preserve">Difficulties </w:t>
      </w:r>
      <w:r>
        <w:t xml:space="preserve">relating to dentition </w:t>
      </w:r>
      <w:r w:rsidRPr="00282F90">
        <w:t xml:space="preserve">or appetite alone are not </w:t>
      </w:r>
      <w:r>
        <w:t xml:space="preserve">appropriate referrals to this team. </w:t>
      </w:r>
    </w:p>
    <w:p w14:paraId="2048E52A" w14:textId="6905EAB7" w:rsidR="00D921A0" w:rsidRDefault="00D921A0" w:rsidP="00D921A0">
      <w:pPr>
        <w:pStyle w:val="ListParagraph"/>
        <w:numPr>
          <w:ilvl w:val="0"/>
          <w:numId w:val="5"/>
        </w:numPr>
        <w:spacing w:after="0" w:line="240" w:lineRule="auto"/>
      </w:pPr>
      <w:r w:rsidRPr="003D2EF1">
        <w:t xml:space="preserve">Complete the Adult Community Referral form and </w:t>
      </w:r>
      <w:r>
        <w:t>email the de</w:t>
      </w:r>
      <w:r w:rsidRPr="003D2EF1">
        <w:t xml:space="preserve">partment.  </w:t>
      </w:r>
    </w:p>
    <w:p w14:paraId="58F3D434" w14:textId="77777777" w:rsidR="00831472" w:rsidRDefault="00831472" w:rsidP="00831472">
      <w:pPr>
        <w:pStyle w:val="ListParagraph"/>
        <w:spacing w:after="0" w:line="240" w:lineRule="auto"/>
        <w:ind w:left="360"/>
      </w:pPr>
    </w:p>
    <w:p w14:paraId="0AA50C36" w14:textId="76CE725A" w:rsidR="00831472" w:rsidRDefault="00831472" w:rsidP="00831472">
      <w:pPr>
        <w:pStyle w:val="ListParagraph"/>
        <w:spacing w:after="0" w:line="240" w:lineRule="auto"/>
        <w:ind w:left="360"/>
      </w:pPr>
      <w:r>
        <w:object w:dxaOrig="1508" w:dyaOrig="984" w14:anchorId="432B7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7" o:title=""/>
          </v:shape>
          <o:OLEObject Type="Embed" ProgID="Word.Document.12" ShapeID="_x0000_i1025" DrawAspect="Icon" ObjectID="_1816768409" r:id="rId8">
            <o:FieldCodes>\s</o:FieldCodes>
          </o:OLEObject>
        </w:object>
      </w:r>
    </w:p>
    <w:p w14:paraId="307A9DAB" w14:textId="77777777" w:rsidR="00831472" w:rsidRDefault="00831472" w:rsidP="00831472">
      <w:pPr>
        <w:pStyle w:val="ListParagraph"/>
        <w:spacing w:after="0" w:line="240" w:lineRule="auto"/>
        <w:ind w:left="360"/>
      </w:pPr>
    </w:p>
    <w:p w14:paraId="4A887484" w14:textId="78D2224B" w:rsidR="00D921A0" w:rsidRDefault="00D921A0" w:rsidP="00115CAF">
      <w:pPr>
        <w:pStyle w:val="ListParagraph"/>
        <w:numPr>
          <w:ilvl w:val="0"/>
          <w:numId w:val="7"/>
        </w:numPr>
        <w:spacing w:after="0" w:line="240" w:lineRule="auto"/>
      </w:pPr>
      <w:r w:rsidRPr="00745252">
        <w:t>Please ensure you provide all the requested information as this will help us prioritise and reduce delay</w:t>
      </w:r>
      <w:r w:rsidR="00115CAF">
        <w:t xml:space="preserve">. </w:t>
      </w:r>
      <w:r w:rsidRPr="003D2EF1">
        <w:t xml:space="preserve">Outdated versions of the form or incomplete or illegible forms will not be accepted. </w:t>
      </w:r>
    </w:p>
    <w:p w14:paraId="6FEAD36D" w14:textId="338F489C" w:rsidR="00D921A0" w:rsidRPr="00957603" w:rsidRDefault="00D921A0" w:rsidP="00D921A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Initial advice may be provided remotely with </w:t>
      </w:r>
      <w:r w:rsidR="00115CAF">
        <w:t>face-to-face</w:t>
      </w:r>
      <w:r>
        <w:t xml:space="preserve"> visits arranged as clinically indicated </w:t>
      </w:r>
    </w:p>
    <w:p w14:paraId="1EBDF6E2" w14:textId="77777777" w:rsidR="00D921A0" w:rsidRPr="00957603" w:rsidRDefault="00D921A0" w:rsidP="00D921A0">
      <w:pPr>
        <w:pStyle w:val="ListParagraph"/>
        <w:numPr>
          <w:ilvl w:val="0"/>
          <w:numId w:val="8"/>
        </w:numPr>
        <w:spacing w:after="0" w:line="240" w:lineRule="auto"/>
      </w:pPr>
      <w:proofErr w:type="gramStart"/>
      <w:r w:rsidRPr="00957603">
        <w:t>Email :</w:t>
      </w:r>
      <w:proofErr w:type="gramEnd"/>
      <w:r w:rsidRPr="00957603">
        <w:t xml:space="preserve"> </w:t>
      </w:r>
      <w:hyperlink r:id="rId9" w:history="1">
        <w:r w:rsidRPr="00957603">
          <w:rPr>
            <w:rStyle w:val="Hyperlink"/>
          </w:rPr>
          <w:t>sth.sltreferrals@nhs.net</w:t>
        </w:r>
      </w:hyperlink>
      <w:r w:rsidRPr="00957603">
        <w:t xml:space="preserve">       Tel: 0114 </w:t>
      </w:r>
      <w:r>
        <w:t>2712676</w:t>
      </w:r>
    </w:p>
    <w:p w14:paraId="559AC0A6" w14:textId="77777777" w:rsidR="00D921A0" w:rsidRDefault="00D921A0" w:rsidP="002C370B">
      <w:pPr>
        <w:pStyle w:val="NoSpacing"/>
        <w:rPr>
          <w:sz w:val="24"/>
          <w:szCs w:val="24"/>
        </w:rPr>
      </w:pPr>
    </w:p>
    <w:p w14:paraId="62957DA0" w14:textId="64F0B57B" w:rsidR="00831472" w:rsidRPr="00C17880" w:rsidRDefault="00831472" w:rsidP="002C370B">
      <w:pPr>
        <w:pStyle w:val="NoSpacing"/>
        <w:rPr>
          <w:b/>
          <w:bCs/>
          <w:sz w:val="28"/>
          <w:szCs w:val="28"/>
        </w:rPr>
      </w:pPr>
      <w:r w:rsidRPr="00C17880">
        <w:rPr>
          <w:b/>
          <w:bCs/>
          <w:sz w:val="28"/>
          <w:szCs w:val="28"/>
        </w:rPr>
        <w:t xml:space="preserve">When a person has been identified as at high risk of choking, please ensure that </w:t>
      </w:r>
    </w:p>
    <w:p w14:paraId="1D11FCBD" w14:textId="77777777" w:rsidR="00831472" w:rsidRPr="00C17880" w:rsidRDefault="00831472" w:rsidP="002C370B">
      <w:pPr>
        <w:pStyle w:val="NoSpacing"/>
        <w:rPr>
          <w:sz w:val="24"/>
          <w:szCs w:val="24"/>
        </w:rPr>
      </w:pPr>
    </w:p>
    <w:p w14:paraId="25ADA82B" w14:textId="77777777" w:rsidR="00831472" w:rsidRPr="00831472" w:rsidRDefault="00831472" w:rsidP="0083147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1472">
        <w:rPr>
          <w:sz w:val="24"/>
          <w:szCs w:val="24"/>
        </w:rPr>
        <w:t>the care plan includes existing SALT recommendations or evidence of a NEW SALT referral, including the interim plan in place (incremental downgrade of diet, strict supervision at mealtimes, eating and drinking difficulties log/monitoring form in place, etc.) </w:t>
      </w:r>
    </w:p>
    <w:p w14:paraId="6F6E1C8E" w14:textId="77777777" w:rsidR="00C17880" w:rsidRDefault="00831472" w:rsidP="0083147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1472">
        <w:rPr>
          <w:sz w:val="24"/>
          <w:szCs w:val="24"/>
        </w:rPr>
        <w:t>the diet and fluids are being provided are in line with the SALT recommendations / interim plan. </w:t>
      </w:r>
    </w:p>
    <w:p w14:paraId="12194214" w14:textId="65BF1AA5" w:rsidR="00831472" w:rsidRPr="00831472" w:rsidRDefault="00831472" w:rsidP="0083147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1472">
        <w:rPr>
          <w:sz w:val="24"/>
          <w:szCs w:val="24"/>
        </w:rPr>
        <w:t>eating in bed is limited where possible. </w:t>
      </w:r>
    </w:p>
    <w:p w14:paraId="6E08C58A" w14:textId="77777777" w:rsidR="00831472" w:rsidRPr="00831472" w:rsidRDefault="00831472" w:rsidP="0083147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1472">
        <w:rPr>
          <w:sz w:val="24"/>
          <w:szCs w:val="24"/>
        </w:rPr>
        <w:t>appropriate modified diet and fluids are being provided (e.g. bought-in ready meals, prepared on site, care staff to mash with a fork/cut up before serving etc.) </w:t>
      </w:r>
    </w:p>
    <w:p w14:paraId="618F3BE3" w14:textId="1A713B17" w:rsidR="00831472" w:rsidRPr="00831472" w:rsidRDefault="00831472" w:rsidP="0083147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1472">
        <w:rPr>
          <w:sz w:val="24"/>
          <w:szCs w:val="24"/>
        </w:rPr>
        <w:t>swallowing recommendations or interim plans are being communicated between different areas of the home (care staff- catering staff- night staff- relatives, etc.)</w:t>
      </w:r>
    </w:p>
    <w:p w14:paraId="4EF95DF0" w14:textId="77777777" w:rsidR="00831472" w:rsidRPr="00831472" w:rsidRDefault="00831472" w:rsidP="00831472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831472">
        <w:rPr>
          <w:sz w:val="24"/>
          <w:szCs w:val="24"/>
        </w:rPr>
        <w:t>If you have any residents who are nursed in bed consider ways to support a fully upright positioning (using slide sheets, raising the back of the bed + raising the knees + tilting the bed, supporting with pillows and reposition throughout the mealtime as needed) </w:t>
      </w:r>
    </w:p>
    <w:p w14:paraId="32EA8DA2" w14:textId="77777777" w:rsidR="00831472" w:rsidRPr="002C370B" w:rsidRDefault="00831472" w:rsidP="002C370B">
      <w:pPr>
        <w:pStyle w:val="NoSpacing"/>
        <w:rPr>
          <w:sz w:val="24"/>
          <w:szCs w:val="24"/>
        </w:rPr>
      </w:pPr>
    </w:p>
    <w:sectPr w:rsidR="00831472" w:rsidRPr="002C370B" w:rsidSect="003E76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304FE" w14:textId="77777777" w:rsidR="003E76C7" w:rsidRDefault="003E76C7" w:rsidP="003E76C7">
      <w:pPr>
        <w:spacing w:after="0" w:line="240" w:lineRule="auto"/>
      </w:pPr>
      <w:r>
        <w:separator/>
      </w:r>
    </w:p>
  </w:endnote>
  <w:endnote w:type="continuationSeparator" w:id="0">
    <w:p w14:paraId="2D74AD1E" w14:textId="77777777" w:rsidR="003E76C7" w:rsidRDefault="003E76C7" w:rsidP="003E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5CD3" w14:textId="77777777" w:rsidR="003E76C7" w:rsidRDefault="003E7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DD6E" w14:textId="77777777" w:rsidR="003E76C7" w:rsidRDefault="003E7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7978F" w14:textId="77777777" w:rsidR="003E76C7" w:rsidRDefault="003E7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78E0" w14:textId="77777777" w:rsidR="003E76C7" w:rsidRDefault="003E76C7" w:rsidP="003E76C7">
      <w:pPr>
        <w:spacing w:after="0" w:line="240" w:lineRule="auto"/>
      </w:pPr>
      <w:r>
        <w:separator/>
      </w:r>
    </w:p>
  </w:footnote>
  <w:footnote w:type="continuationSeparator" w:id="0">
    <w:p w14:paraId="54CCDBEE" w14:textId="77777777" w:rsidR="003E76C7" w:rsidRDefault="003E76C7" w:rsidP="003E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03EE" w14:textId="0307E263" w:rsidR="003E76C7" w:rsidRDefault="003E7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5ACD" w14:textId="6084B50C" w:rsidR="003E76C7" w:rsidRDefault="003E76C7">
    <w:pPr>
      <w:pStyle w:val="Header"/>
    </w:pPr>
    <w:r w:rsidRPr="003D2EF1">
      <w:rPr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6FC29B34" wp14:editId="07197700">
          <wp:simplePos x="0" y="0"/>
          <wp:positionH relativeFrom="column">
            <wp:posOffset>6908800</wp:posOffset>
          </wp:positionH>
          <wp:positionV relativeFrom="paragraph">
            <wp:posOffset>-229235</wp:posOffset>
          </wp:positionV>
          <wp:extent cx="2906109" cy="348034"/>
          <wp:effectExtent l="0" t="0" r="8890" b="0"/>
          <wp:wrapNone/>
          <wp:docPr id="1" name="Picture 1" descr="nhs logo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logo 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109" cy="348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92E9BF" w14:textId="77777777" w:rsidR="003E76C7" w:rsidRDefault="003E7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DF97" w14:textId="0D25ED28" w:rsidR="003E76C7" w:rsidRDefault="003E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26D"/>
    <w:multiLevelType w:val="hybridMultilevel"/>
    <w:tmpl w:val="77B2511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54247"/>
    <w:multiLevelType w:val="hybridMultilevel"/>
    <w:tmpl w:val="99C488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B3A30"/>
    <w:multiLevelType w:val="multilevel"/>
    <w:tmpl w:val="FD74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006B3"/>
    <w:multiLevelType w:val="hybridMultilevel"/>
    <w:tmpl w:val="468825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84358"/>
    <w:multiLevelType w:val="hybridMultilevel"/>
    <w:tmpl w:val="7F9E58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C1257E"/>
    <w:multiLevelType w:val="hybridMultilevel"/>
    <w:tmpl w:val="515456C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4F747D"/>
    <w:multiLevelType w:val="hybridMultilevel"/>
    <w:tmpl w:val="5C769D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6A3AA2"/>
    <w:multiLevelType w:val="hybridMultilevel"/>
    <w:tmpl w:val="3F6C84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DD1C9F"/>
    <w:multiLevelType w:val="hybridMultilevel"/>
    <w:tmpl w:val="7A14B4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510896">
    <w:abstractNumId w:val="5"/>
  </w:num>
  <w:num w:numId="2" w16cid:durableId="1218009319">
    <w:abstractNumId w:val="1"/>
  </w:num>
  <w:num w:numId="3" w16cid:durableId="509216653">
    <w:abstractNumId w:val="7"/>
  </w:num>
  <w:num w:numId="4" w16cid:durableId="928587615">
    <w:abstractNumId w:val="8"/>
  </w:num>
  <w:num w:numId="5" w16cid:durableId="709690784">
    <w:abstractNumId w:val="0"/>
  </w:num>
  <w:num w:numId="6" w16cid:durableId="1959331349">
    <w:abstractNumId w:val="6"/>
  </w:num>
  <w:num w:numId="7" w16cid:durableId="659651661">
    <w:abstractNumId w:val="3"/>
  </w:num>
  <w:num w:numId="8" w16cid:durableId="1908152351">
    <w:abstractNumId w:val="4"/>
  </w:num>
  <w:num w:numId="9" w16cid:durableId="175998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71"/>
    <w:rsid w:val="00115CAF"/>
    <w:rsid w:val="00283C71"/>
    <w:rsid w:val="00284C79"/>
    <w:rsid w:val="002C370B"/>
    <w:rsid w:val="003E76C7"/>
    <w:rsid w:val="00490F91"/>
    <w:rsid w:val="004A17DD"/>
    <w:rsid w:val="00507FE6"/>
    <w:rsid w:val="00831472"/>
    <w:rsid w:val="008608A4"/>
    <w:rsid w:val="008D3B9D"/>
    <w:rsid w:val="009929FB"/>
    <w:rsid w:val="00AC44EC"/>
    <w:rsid w:val="00C17880"/>
    <w:rsid w:val="00CA7243"/>
    <w:rsid w:val="00D921A0"/>
    <w:rsid w:val="00DB16ED"/>
    <w:rsid w:val="00D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1011B8"/>
  <w15:chartTrackingRefBased/>
  <w15:docId w15:val="{6DBCD8FB-D829-421F-8000-B1CCE900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C7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3C7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8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21A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7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6C7"/>
  </w:style>
  <w:style w:type="paragraph" w:styleId="Footer">
    <w:name w:val="footer"/>
    <w:basedOn w:val="Normal"/>
    <w:link w:val="FooterChar"/>
    <w:uiPriority w:val="99"/>
    <w:unhideWhenUsed/>
    <w:rsid w:val="003E7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h.sltreferrals@nhs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Squatriti</dc:creator>
  <cp:keywords/>
  <dc:description/>
  <cp:lastModifiedBy>Luisa Squatriti</cp:lastModifiedBy>
  <cp:revision>5</cp:revision>
  <dcterms:created xsi:type="dcterms:W3CDTF">2025-08-01T15:42:00Z</dcterms:created>
  <dcterms:modified xsi:type="dcterms:W3CDTF">2025-08-15T12:07:00Z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2025-07-21T12:03:33Z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ee24c87a-ec0b-431e-984d-f29a7728423e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</Properties>
</file>